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58" w:rsidRDefault="001E3058" w:rsidP="00586A29">
      <w:pPr>
        <w:pStyle w:val="Pa2"/>
        <w:pBdr>
          <w:top w:val="thinThickThinMediumGap" w:sz="24" w:space="1" w:color="E36C0A" w:themeColor="accent6" w:themeShade="BF"/>
          <w:left w:val="thinThickThinMediumGap" w:sz="24" w:space="4" w:color="E36C0A" w:themeColor="accent6" w:themeShade="BF"/>
          <w:bottom w:val="thinThickThinMediumGap" w:sz="24" w:space="1" w:color="E36C0A" w:themeColor="accent6" w:themeShade="BF"/>
          <w:right w:val="thinThickThinMediumGap" w:sz="24" w:space="4" w:color="E36C0A" w:themeColor="accent6" w:themeShade="BF"/>
        </w:pBdr>
        <w:spacing w:after="120"/>
        <w:jc w:val="center"/>
        <w:rPr>
          <w:rFonts w:ascii="Kozuka Gothic Pro B" w:hAnsi="Kozuka Gothic Pro B" w:cs="Kozuka Gothic Pro B"/>
          <w:b/>
          <w:bCs/>
          <w:color w:val="FFC000"/>
          <w:sz w:val="40"/>
          <w:szCs w:val="40"/>
        </w:rPr>
      </w:pPr>
      <w:r w:rsidRPr="00126752">
        <w:rPr>
          <w:rFonts w:ascii="Kozuka Gothic Pro B" w:hAnsi="Kozuka Gothic Pro B" w:cs="Kozuka Gothic Pro B"/>
          <w:b/>
          <w:bCs/>
          <w:color w:val="FFC000"/>
          <w:sz w:val="40"/>
          <w:szCs w:val="40"/>
        </w:rPr>
        <w:t>Situaciones tipo II:</w:t>
      </w:r>
    </w:p>
    <w:p w:rsidR="00586A29" w:rsidRDefault="00586A29" w:rsidP="00586A29">
      <w:pPr>
        <w:pStyle w:val="Default"/>
        <w:pBdr>
          <w:top w:val="thinThickThinMediumGap" w:sz="24" w:space="1" w:color="E36C0A" w:themeColor="accent6" w:themeShade="BF"/>
          <w:left w:val="thinThickThinMediumGap" w:sz="24" w:space="4" w:color="E36C0A" w:themeColor="accent6" w:themeShade="BF"/>
          <w:bottom w:val="thinThickThinMediumGap" w:sz="24" w:space="1" w:color="E36C0A" w:themeColor="accent6" w:themeShade="BF"/>
          <w:right w:val="thinThickThinMediumGap" w:sz="24" w:space="4" w:color="E36C0A" w:themeColor="accent6" w:themeShade="BF"/>
        </w:pBdr>
        <w:jc w:val="center"/>
        <w:rPr>
          <w:b/>
          <w:color w:val="002060"/>
        </w:rPr>
      </w:pPr>
      <w:r w:rsidRPr="00586A29">
        <w:rPr>
          <w:b/>
          <w:color w:val="002060"/>
        </w:rPr>
        <w:t>Artículo 40 del decreto 1965 de 2013: Numeral 2</w:t>
      </w:r>
    </w:p>
    <w:p w:rsidR="00586A29" w:rsidRPr="00586A29" w:rsidRDefault="00586A29" w:rsidP="00586A29">
      <w:pPr>
        <w:pStyle w:val="Default"/>
        <w:pBdr>
          <w:top w:val="thinThickThinMediumGap" w:sz="24" w:space="1" w:color="E36C0A" w:themeColor="accent6" w:themeShade="BF"/>
          <w:left w:val="thinThickThinMediumGap" w:sz="24" w:space="4" w:color="E36C0A" w:themeColor="accent6" w:themeShade="BF"/>
          <w:bottom w:val="thinThickThinMediumGap" w:sz="24" w:space="1" w:color="E36C0A" w:themeColor="accent6" w:themeShade="BF"/>
          <w:right w:val="thinThickThinMediumGap" w:sz="24" w:space="4" w:color="E36C0A" w:themeColor="accent6" w:themeShade="BF"/>
        </w:pBdr>
        <w:jc w:val="center"/>
        <w:rPr>
          <w:b/>
          <w:color w:val="C0504D" w:themeColor="accent2"/>
        </w:rPr>
      </w:pPr>
      <w:r w:rsidRPr="00586A29">
        <w:rPr>
          <w:b/>
          <w:color w:val="C0504D" w:themeColor="accent2"/>
        </w:rPr>
        <w:t>Acuerdo cinco del Manual de Convivencia</w:t>
      </w:r>
    </w:p>
    <w:p w:rsidR="001E3058" w:rsidRPr="001E3058" w:rsidRDefault="001E3058" w:rsidP="001E3058">
      <w:pPr>
        <w:pStyle w:val="Default"/>
      </w:pPr>
    </w:p>
    <w:p w:rsidR="001E3058" w:rsidRDefault="001E3058" w:rsidP="001E3058">
      <w:pPr>
        <w:pStyle w:val="Pa2"/>
        <w:spacing w:after="120"/>
        <w:jc w:val="both"/>
        <w:rPr>
          <w:rFonts w:cs="Kozuka Gothic Pro R"/>
        </w:rPr>
      </w:pPr>
      <w:r w:rsidRPr="00333372">
        <w:rPr>
          <w:rFonts w:cs="Kozuka Gothic Pro R"/>
        </w:rPr>
        <w:t xml:space="preserve">Corresponden a este tipo las situaciones de agresión escolar, acoso escolar (bullying) y </w:t>
      </w:r>
      <w:proofErr w:type="spellStart"/>
      <w:r w:rsidRPr="00333372">
        <w:rPr>
          <w:rFonts w:cs="Kozuka Gothic Pro R"/>
        </w:rPr>
        <w:t>ciberacoso</w:t>
      </w:r>
      <w:proofErr w:type="spellEnd"/>
      <w:r w:rsidRPr="00333372">
        <w:rPr>
          <w:rFonts w:cs="Kozuka Gothic Pro R"/>
        </w:rPr>
        <w:t xml:space="preserve"> (</w:t>
      </w:r>
      <w:proofErr w:type="spellStart"/>
      <w:r w:rsidRPr="00333372">
        <w:rPr>
          <w:rFonts w:cs="Kozuka Gothic Pro R"/>
        </w:rPr>
        <w:t>Ciberbullying</w:t>
      </w:r>
      <w:proofErr w:type="spellEnd"/>
      <w:r w:rsidRPr="00333372">
        <w:rPr>
          <w:rFonts w:cs="Kozuka Gothic Pro R"/>
        </w:rPr>
        <w:t xml:space="preserve">), que no revistan las características de la comisión de un delito y que cumplan con cualquiera de las siguientes características: </w:t>
      </w:r>
    </w:p>
    <w:p w:rsidR="00D47725" w:rsidRDefault="00D47725" w:rsidP="00D47725">
      <w:pPr>
        <w:pStyle w:val="Default"/>
        <w:numPr>
          <w:ilvl w:val="0"/>
          <w:numId w:val="3"/>
        </w:numPr>
      </w:pPr>
      <w:r>
        <w:t>Que se presenten de manera repetida o sistemática</w:t>
      </w:r>
    </w:p>
    <w:p w:rsidR="00D47725" w:rsidRPr="00D47725" w:rsidRDefault="00D47725" w:rsidP="00D47725">
      <w:pPr>
        <w:pStyle w:val="Default"/>
        <w:numPr>
          <w:ilvl w:val="0"/>
          <w:numId w:val="3"/>
        </w:numPr>
      </w:pPr>
      <w:r>
        <w:t>Que causen daño al cuerpo o a la salud sin generar incapacidad alguna para cualquiera de los involucrados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rPr>
          <w:color w:val="auto"/>
          <w:sz w:val="22"/>
          <w:szCs w:val="22"/>
        </w:rPr>
      </w:pPr>
      <w:r w:rsidRPr="00D47725">
        <w:rPr>
          <w:color w:val="auto"/>
          <w:sz w:val="22"/>
          <w:szCs w:val="22"/>
        </w:rPr>
        <w:t>Consumo o porte de sustancias psicoactivas</w:t>
      </w:r>
      <w:r w:rsidRPr="00D47725">
        <w:rPr>
          <w:rStyle w:val="A6"/>
          <w:color w:val="auto"/>
          <w:sz w:val="22"/>
          <w:szCs w:val="22"/>
        </w:rPr>
        <w:t xml:space="preserve">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rPr>
          <w:color w:val="auto"/>
          <w:sz w:val="22"/>
          <w:szCs w:val="22"/>
        </w:rPr>
      </w:pPr>
      <w:r w:rsidRPr="00D47725">
        <w:rPr>
          <w:color w:val="auto"/>
          <w:sz w:val="22"/>
          <w:szCs w:val="22"/>
        </w:rPr>
        <w:t xml:space="preserve">Agresión Verbal, gestual y física sin lesiones personales.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rPr>
          <w:color w:val="auto"/>
          <w:sz w:val="22"/>
          <w:szCs w:val="22"/>
        </w:rPr>
      </w:pPr>
      <w:r w:rsidRPr="00D47725">
        <w:rPr>
          <w:color w:val="auto"/>
          <w:sz w:val="22"/>
          <w:szCs w:val="22"/>
        </w:rPr>
        <w:t xml:space="preserve">El acoso escolar y el </w:t>
      </w:r>
      <w:proofErr w:type="spellStart"/>
      <w:r w:rsidRPr="00D47725">
        <w:rPr>
          <w:color w:val="auto"/>
          <w:sz w:val="22"/>
          <w:szCs w:val="22"/>
        </w:rPr>
        <w:t>ciberacoso</w:t>
      </w:r>
      <w:proofErr w:type="spellEnd"/>
      <w:r w:rsidRPr="00D47725">
        <w:rPr>
          <w:color w:val="auto"/>
          <w:sz w:val="22"/>
          <w:szCs w:val="22"/>
        </w:rPr>
        <w:t xml:space="preserve">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rPr>
          <w:color w:val="auto"/>
          <w:sz w:val="22"/>
          <w:szCs w:val="22"/>
        </w:rPr>
      </w:pPr>
      <w:r w:rsidRPr="00D47725">
        <w:rPr>
          <w:color w:val="auto"/>
          <w:sz w:val="22"/>
          <w:szCs w:val="22"/>
        </w:rPr>
        <w:t>La evasión de la Normal y de las actividades pedagógicas y curriculares.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>Apoderarse de objetos que no le pertenecen.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La Injuria (Propagar comentarios que perjudiquen la imagen de terceros en su imagen, honra y buen nombre.)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Incumplimiento de los compromisos tipo I.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Alterar o falsificar calificaciones, evaluaciones, excusas, permisos o firmas.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Los actos de vandalismo y daños intencionales contra la planta física de la Escuela, así como sobre los materiales y equipos del mismo o contra vehículos y pertenencias de docentes y funcionarios de la institución.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Utilizar el nombre del colegio para realizar rifas, paseos, excursiones, fiestas, bingos, etc.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Desperdicio del refrigerio.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La desobediencia o la burla a docentes o directivas de la institución.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Fumar dentro de la institución o fuera de ella portando el uniforme.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Incitar a la violencia y al desorden.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Salir de la institución sin autorización.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Evadirse de las actividades escolares (durante la jornada escolar)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Escribir pasquines o mensajes irrespetuosos en pupitres, paredes o baños.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Irrespetar a cualquier miembro de la Comunidad Educativa.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Realizar juegos bruscos en clase, y corredores que ocasionen daños.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La burla de las dificultades o enfermedades de compañeros o miembros de la institución.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spacing w:after="120"/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Realizar prácticas de cualquier índole que comprometa la salud mental e integridad de las personas. </w:t>
      </w:r>
    </w:p>
    <w:p w:rsidR="001E3058" w:rsidRPr="00D47725" w:rsidRDefault="001E3058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 xml:space="preserve">Causar daño a las propiedades de la comunidad vecina al colegio. </w:t>
      </w:r>
    </w:p>
    <w:p w:rsidR="00355881" w:rsidRPr="00D47725" w:rsidRDefault="00355881" w:rsidP="00586A29">
      <w:pPr>
        <w:pStyle w:val="Default"/>
        <w:numPr>
          <w:ilvl w:val="0"/>
          <w:numId w:val="1"/>
        </w:numPr>
        <w:pBdr>
          <w:top w:val="double" w:sz="4" w:space="1" w:color="FFC000"/>
          <w:left w:val="double" w:sz="4" w:space="4" w:color="FFC000"/>
          <w:bottom w:val="double" w:sz="4" w:space="1" w:color="FFC000"/>
          <w:right w:val="double" w:sz="4" w:space="4" w:color="FFC000"/>
        </w:pBdr>
        <w:rPr>
          <w:rFonts w:cstheme="minorBidi"/>
          <w:color w:val="auto"/>
          <w:sz w:val="22"/>
          <w:szCs w:val="22"/>
        </w:rPr>
      </w:pPr>
      <w:r w:rsidRPr="00D47725">
        <w:rPr>
          <w:rFonts w:cstheme="minorBidi"/>
          <w:color w:val="auto"/>
          <w:sz w:val="22"/>
          <w:szCs w:val="22"/>
        </w:rPr>
        <w:t>Otras que se ajusten a la definición de la situación.</w:t>
      </w:r>
    </w:p>
    <w:p w:rsidR="00355881" w:rsidRDefault="00355881" w:rsidP="001E3058">
      <w:pPr>
        <w:pStyle w:val="Default"/>
        <w:rPr>
          <w:rFonts w:cstheme="minorBidi"/>
          <w:color w:val="auto"/>
          <w:sz w:val="20"/>
          <w:szCs w:val="20"/>
        </w:rPr>
      </w:pPr>
    </w:p>
    <w:p w:rsidR="00355881" w:rsidRDefault="00355881" w:rsidP="00355881">
      <w:pPr>
        <w:pStyle w:val="Default"/>
      </w:pPr>
    </w:p>
    <w:p w:rsidR="00355881" w:rsidRDefault="00355881" w:rsidP="00355881">
      <w:pPr>
        <w:pStyle w:val="Default"/>
        <w:rPr>
          <w:rFonts w:cstheme="minorBidi"/>
          <w:color w:val="auto"/>
        </w:rPr>
      </w:pPr>
    </w:p>
    <w:p w:rsidR="00355881" w:rsidRDefault="00355881" w:rsidP="00355881">
      <w:pPr>
        <w:pStyle w:val="Default"/>
        <w:rPr>
          <w:rFonts w:cstheme="minorBidi"/>
          <w:color w:val="auto"/>
          <w:sz w:val="20"/>
          <w:szCs w:val="20"/>
        </w:rPr>
      </w:pPr>
    </w:p>
    <w:p w:rsidR="00586A29" w:rsidRDefault="00355881" w:rsidP="000959E3">
      <w:pPr>
        <w:pStyle w:val="Pa11"/>
        <w:pBdr>
          <w:top w:val="thinThickThinMediumGap" w:sz="24" w:space="1" w:color="E36C0A" w:themeColor="accent6" w:themeShade="BF"/>
          <w:left w:val="thinThickThinMediumGap" w:sz="24" w:space="4" w:color="E36C0A" w:themeColor="accent6" w:themeShade="BF"/>
          <w:bottom w:val="thinThickThinMediumGap" w:sz="24" w:space="1" w:color="E36C0A" w:themeColor="accent6" w:themeShade="BF"/>
          <w:right w:val="thinThickThinMediumGap" w:sz="24" w:space="4" w:color="E36C0A" w:themeColor="accent6" w:themeShade="BF"/>
        </w:pBdr>
        <w:spacing w:after="120"/>
        <w:jc w:val="center"/>
        <w:rPr>
          <w:rFonts w:ascii="Kozuka Gothic Pro M" w:hAnsi="Kozuka Gothic Pro M" w:cs="Kozuka Gothic Pro M"/>
          <w:sz w:val="48"/>
          <w:szCs w:val="48"/>
        </w:rPr>
      </w:pPr>
      <w:r w:rsidRPr="00586A29">
        <w:rPr>
          <w:b/>
          <w:color w:val="FFC000"/>
          <w:sz w:val="48"/>
          <w:szCs w:val="48"/>
        </w:rPr>
        <w:t>P</w:t>
      </w:r>
      <w:r w:rsidRPr="00586A29">
        <w:rPr>
          <w:rFonts w:ascii="Kozuka Gothic Pro M" w:hAnsi="Kozuka Gothic Pro M" w:cs="Kozuka Gothic Pro M"/>
          <w:b/>
          <w:color w:val="FFC000"/>
          <w:sz w:val="48"/>
          <w:szCs w:val="48"/>
        </w:rPr>
        <w:t>roto</w:t>
      </w:r>
      <w:r w:rsidRPr="00586A29">
        <w:rPr>
          <w:rFonts w:cs="Kozuka Gothic Pro R"/>
          <w:b/>
          <w:color w:val="FFC000"/>
          <w:sz w:val="48"/>
          <w:szCs w:val="48"/>
        </w:rPr>
        <w:t>c</w:t>
      </w:r>
      <w:r w:rsidRPr="00586A29">
        <w:rPr>
          <w:rFonts w:ascii="Kozuka Gothic Pro M" w:hAnsi="Kozuka Gothic Pro M" w:cs="Kozuka Gothic Pro M"/>
          <w:b/>
          <w:color w:val="FFC000"/>
          <w:sz w:val="48"/>
          <w:szCs w:val="48"/>
        </w:rPr>
        <w:t>olo</w:t>
      </w:r>
      <w:r w:rsidR="00586A29" w:rsidRPr="00586A29">
        <w:rPr>
          <w:rFonts w:ascii="Kozuka Gothic Pro M" w:hAnsi="Kozuka Gothic Pro M" w:cs="Kozuka Gothic Pro M"/>
          <w:b/>
          <w:color w:val="FFC000"/>
          <w:sz w:val="48"/>
          <w:szCs w:val="48"/>
        </w:rPr>
        <w:t xml:space="preserve"> tipo</w:t>
      </w:r>
      <w:r w:rsidRPr="00586A29">
        <w:rPr>
          <w:rFonts w:ascii="Kozuka Gothic Pro M" w:hAnsi="Kozuka Gothic Pro M" w:cs="Kozuka Gothic Pro M"/>
          <w:b/>
          <w:color w:val="FFC000"/>
          <w:sz w:val="48"/>
          <w:szCs w:val="48"/>
        </w:rPr>
        <w:t xml:space="preserve"> </w:t>
      </w:r>
      <w:r w:rsidRPr="00586A29">
        <w:rPr>
          <w:rFonts w:cs="Kozuka Gothic Pro R"/>
          <w:b/>
          <w:color w:val="FFC000"/>
          <w:sz w:val="48"/>
          <w:szCs w:val="48"/>
        </w:rPr>
        <w:t>II</w:t>
      </w:r>
      <w:r w:rsidRPr="00355881">
        <w:rPr>
          <w:rFonts w:ascii="Kozuka Gothic Pro M" w:hAnsi="Kozuka Gothic Pro M" w:cs="Kozuka Gothic Pro M"/>
          <w:sz w:val="48"/>
          <w:szCs w:val="48"/>
        </w:rPr>
        <w:t xml:space="preserve">: </w:t>
      </w:r>
    </w:p>
    <w:p w:rsidR="00226429" w:rsidRPr="00226429" w:rsidRDefault="00226429" w:rsidP="00226429">
      <w:pPr>
        <w:pStyle w:val="Default"/>
      </w:pPr>
    </w:p>
    <w:p w:rsidR="00226429" w:rsidRPr="00226429" w:rsidRDefault="00226429" w:rsidP="000959E3">
      <w:pPr>
        <w:pStyle w:val="Pa11"/>
        <w:pBdr>
          <w:top w:val="thinThickThinMediumGap" w:sz="24" w:space="1" w:color="C0504D" w:themeColor="accent2"/>
          <w:left w:val="thinThickThinMediumGap" w:sz="24" w:space="4" w:color="C0504D" w:themeColor="accent2"/>
          <w:bottom w:val="thinThickThinMediumGap" w:sz="24" w:space="1" w:color="C0504D" w:themeColor="accent2"/>
          <w:right w:val="thinThickThinMediumGap" w:sz="24" w:space="17" w:color="C0504D" w:themeColor="accent2"/>
        </w:pBdr>
        <w:spacing w:after="120"/>
        <w:jc w:val="center"/>
        <w:rPr>
          <w:rFonts w:ascii="Kozuka Gothic Pro M" w:hAnsi="Kozuka Gothic Pro M" w:cs="Kozuka Gothic Pro M"/>
          <w:b/>
          <w:color w:val="002060"/>
          <w:sz w:val="44"/>
          <w:szCs w:val="44"/>
        </w:rPr>
      </w:pPr>
      <w:r w:rsidRPr="00226429">
        <w:rPr>
          <w:rFonts w:ascii="Kozuka Gothic Pro M" w:hAnsi="Kozuka Gothic Pro M" w:cs="Kozuka Gothic Pro M"/>
          <w:b/>
          <w:color w:val="002060"/>
          <w:sz w:val="44"/>
          <w:szCs w:val="44"/>
        </w:rPr>
        <w:t>Artículo 43 del decreto 1965 de 2013</w:t>
      </w:r>
    </w:p>
    <w:p w:rsidR="00226429" w:rsidRPr="00226429" w:rsidRDefault="00226429" w:rsidP="000959E3">
      <w:pPr>
        <w:pStyle w:val="Pa11"/>
        <w:pBdr>
          <w:top w:val="thinThickThinMediumGap" w:sz="24" w:space="1" w:color="C0504D" w:themeColor="accent2"/>
          <w:left w:val="thinThickThinMediumGap" w:sz="24" w:space="4" w:color="C0504D" w:themeColor="accent2"/>
          <w:bottom w:val="thinThickThinMediumGap" w:sz="24" w:space="1" w:color="C0504D" w:themeColor="accent2"/>
          <w:right w:val="thinThickThinMediumGap" w:sz="24" w:space="17" w:color="C0504D" w:themeColor="accent2"/>
        </w:pBdr>
        <w:spacing w:after="120"/>
        <w:jc w:val="center"/>
        <w:rPr>
          <w:rFonts w:ascii="Kozuka Gothic Pro M" w:hAnsi="Kozuka Gothic Pro M" w:cs="Kozuka Gothic Pro M"/>
          <w:b/>
          <w:color w:val="C0504D" w:themeColor="accent2"/>
          <w:sz w:val="44"/>
          <w:szCs w:val="44"/>
        </w:rPr>
      </w:pPr>
      <w:r w:rsidRPr="00226429">
        <w:rPr>
          <w:rFonts w:ascii="Kozuka Gothic Pro M" w:hAnsi="Kozuka Gothic Pro M" w:cs="Kozuka Gothic Pro M"/>
          <w:b/>
          <w:color w:val="C0504D" w:themeColor="accent2"/>
          <w:sz w:val="44"/>
          <w:szCs w:val="44"/>
        </w:rPr>
        <w:t>Acuerdo cinco Manual de Convivencia</w:t>
      </w:r>
    </w:p>
    <w:p w:rsidR="00324845" w:rsidRPr="000959E3" w:rsidRDefault="00355881" w:rsidP="000959E3">
      <w:pPr>
        <w:pStyle w:val="Pa11"/>
        <w:pBdr>
          <w:top w:val="thinThickThinMediumGap" w:sz="24" w:space="1" w:color="C0504D" w:themeColor="accent2"/>
          <w:left w:val="thinThickThinMediumGap" w:sz="24" w:space="4" w:color="C0504D" w:themeColor="accent2"/>
          <w:bottom w:val="thinThickThinMediumGap" w:sz="24" w:space="1" w:color="C0504D" w:themeColor="accent2"/>
          <w:right w:val="thinThickThinMediumGap" w:sz="24" w:space="17" w:color="C0504D" w:themeColor="accent2"/>
        </w:pBdr>
        <w:spacing w:after="120"/>
        <w:jc w:val="center"/>
        <w:rPr>
          <w:rFonts w:ascii="Kozuka Gothic Pro M" w:hAnsi="Kozuka Gothic Pro M" w:cs="Kozuka Gothic Pro M"/>
          <w:b/>
          <w:color w:val="FFC000"/>
          <w:sz w:val="40"/>
          <w:szCs w:val="40"/>
        </w:rPr>
      </w:pPr>
      <w:proofErr w:type="gramStart"/>
      <w:r w:rsidRPr="000959E3">
        <w:rPr>
          <w:rFonts w:cs="Kozuka Gothic Pro R"/>
          <w:b/>
          <w:color w:val="FFC000"/>
          <w:sz w:val="40"/>
          <w:szCs w:val="40"/>
        </w:rPr>
        <w:t>O</w:t>
      </w:r>
      <w:r w:rsidRPr="000959E3">
        <w:rPr>
          <w:rFonts w:ascii="Kozuka Gothic Pro M" w:hAnsi="Kozuka Gothic Pro M" w:cs="Kozuka Gothic Pro M"/>
          <w:b/>
          <w:color w:val="FFC000"/>
          <w:sz w:val="40"/>
          <w:szCs w:val="40"/>
        </w:rPr>
        <w:t>rienta</w:t>
      </w:r>
      <w:r w:rsidRPr="000959E3">
        <w:rPr>
          <w:rFonts w:cs="Kozuka Gothic Pro R"/>
          <w:b/>
          <w:color w:val="FFC000"/>
          <w:sz w:val="40"/>
          <w:szCs w:val="40"/>
        </w:rPr>
        <w:t>c</w:t>
      </w:r>
      <w:r w:rsidR="00226429" w:rsidRPr="000959E3">
        <w:rPr>
          <w:rFonts w:ascii="Kozuka Gothic Pro M" w:hAnsi="Kozuka Gothic Pro M" w:cs="Kozuka Gothic Pro M"/>
          <w:b/>
          <w:color w:val="FFC000"/>
          <w:sz w:val="40"/>
          <w:szCs w:val="40"/>
        </w:rPr>
        <w:t>ión ,</w:t>
      </w:r>
      <w:r w:rsidRPr="000959E3">
        <w:rPr>
          <w:rFonts w:ascii="Kozuka Gothic Pro M" w:hAnsi="Kozuka Gothic Pro M" w:cs="Kozuka Gothic Pro M"/>
          <w:b/>
          <w:color w:val="FFC000"/>
          <w:sz w:val="40"/>
          <w:szCs w:val="40"/>
        </w:rPr>
        <w:t>Coordina</w:t>
      </w:r>
      <w:r w:rsidRPr="000959E3">
        <w:rPr>
          <w:rFonts w:cs="Kozuka Gothic Pro R"/>
          <w:b/>
          <w:color w:val="FFC000"/>
          <w:sz w:val="40"/>
          <w:szCs w:val="40"/>
        </w:rPr>
        <w:t>c</w:t>
      </w:r>
      <w:r w:rsidR="00226429" w:rsidRPr="000959E3">
        <w:rPr>
          <w:rFonts w:ascii="Kozuka Gothic Pro M" w:hAnsi="Kozuka Gothic Pro M" w:cs="Kozuka Gothic Pro M"/>
          <w:b/>
          <w:color w:val="FFC000"/>
          <w:sz w:val="40"/>
          <w:szCs w:val="40"/>
        </w:rPr>
        <w:t>ión</w:t>
      </w:r>
      <w:proofErr w:type="gramEnd"/>
      <w:r w:rsidR="00226429" w:rsidRPr="000959E3">
        <w:rPr>
          <w:rFonts w:ascii="Kozuka Gothic Pro M" w:hAnsi="Kozuka Gothic Pro M" w:cs="Kozuka Gothic Pro M"/>
          <w:b/>
          <w:color w:val="FFC000"/>
          <w:sz w:val="40"/>
          <w:szCs w:val="40"/>
        </w:rPr>
        <w:t xml:space="preserve"> de Convivencia, Rectoría</w:t>
      </w:r>
      <w:r w:rsidR="000959E3" w:rsidRPr="000959E3">
        <w:rPr>
          <w:rFonts w:ascii="Kozuka Gothic Pro M" w:hAnsi="Kozuka Gothic Pro M" w:cs="Kozuka Gothic Pro M"/>
          <w:b/>
          <w:color w:val="FFC000"/>
          <w:sz w:val="40"/>
          <w:szCs w:val="40"/>
        </w:rPr>
        <w:t xml:space="preserve"> Libro d</w:t>
      </w:r>
      <w:r w:rsidR="000959E3">
        <w:rPr>
          <w:rFonts w:ascii="Kozuka Gothic Pro M" w:hAnsi="Kozuka Gothic Pro M" w:cs="Kozuka Gothic Pro M"/>
          <w:b/>
          <w:color w:val="FFC000"/>
          <w:sz w:val="40"/>
          <w:szCs w:val="40"/>
        </w:rPr>
        <w:t xml:space="preserve">e </w:t>
      </w:r>
      <w:r w:rsidRPr="000959E3">
        <w:rPr>
          <w:rFonts w:ascii="Kozuka Gothic Pro M" w:hAnsi="Kozuka Gothic Pro M" w:cs="Kozuka Gothic Pro M"/>
          <w:b/>
          <w:color w:val="FFC000"/>
          <w:sz w:val="40"/>
          <w:szCs w:val="40"/>
        </w:rPr>
        <w:t>protocolos II.</w:t>
      </w:r>
    </w:p>
    <w:p w:rsidR="00324845" w:rsidRDefault="00324845" w:rsidP="00324845">
      <w:pPr>
        <w:pStyle w:val="Default"/>
        <w:numPr>
          <w:ilvl w:val="0"/>
          <w:numId w:val="2"/>
        </w:numPr>
        <w:jc w:val="both"/>
        <w:rPr>
          <w:color w:val="auto"/>
        </w:rPr>
      </w:pPr>
    </w:p>
    <w:p w:rsidR="00324845" w:rsidRDefault="00324845" w:rsidP="00324845">
      <w:pPr>
        <w:pStyle w:val="Default"/>
        <w:numPr>
          <w:ilvl w:val="0"/>
          <w:numId w:val="2"/>
        </w:numPr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</w:rPr>
      </w:pPr>
    </w:p>
    <w:p w:rsidR="00324845" w:rsidRDefault="00324845" w:rsidP="00324845">
      <w:pPr>
        <w:pStyle w:val="Default"/>
        <w:numPr>
          <w:ilvl w:val="0"/>
          <w:numId w:val="2"/>
        </w:numPr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</w:rPr>
      </w:pPr>
    </w:p>
    <w:p w:rsidR="00355881" w:rsidRPr="00226429" w:rsidRDefault="00355881" w:rsidP="00324845">
      <w:pPr>
        <w:pStyle w:val="Default"/>
        <w:numPr>
          <w:ilvl w:val="0"/>
          <w:numId w:val="2"/>
        </w:numPr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  <w:sz w:val="22"/>
          <w:szCs w:val="22"/>
        </w:rPr>
      </w:pPr>
      <w:r w:rsidRPr="00226429">
        <w:rPr>
          <w:color w:val="auto"/>
          <w:sz w:val="22"/>
          <w:szCs w:val="22"/>
        </w:rPr>
        <w:t xml:space="preserve">En casos de daño al cuerpo o a la salud, la orientación escolar garantizará la atención inmediata en salud física y mental de los involucrados, mediante la remisión a las entidades competentes, actuación de la cual dejará constancia en el libro de protocolos II. Activará el Convenio 137. Aplicación de los protocolos de orientación. </w:t>
      </w:r>
    </w:p>
    <w:p w:rsidR="00355881" w:rsidRPr="00226429" w:rsidRDefault="00355881" w:rsidP="00324845">
      <w:pPr>
        <w:pStyle w:val="Default"/>
        <w:numPr>
          <w:ilvl w:val="0"/>
          <w:numId w:val="2"/>
        </w:numPr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  <w:sz w:val="22"/>
          <w:szCs w:val="22"/>
        </w:rPr>
      </w:pPr>
      <w:r w:rsidRPr="00226429">
        <w:rPr>
          <w:color w:val="auto"/>
          <w:sz w:val="22"/>
          <w:szCs w:val="22"/>
        </w:rPr>
        <w:t xml:space="preserve">Cuando se requieran medidas de reparación o de restablecimiento de derechos, Rectoría remitirá la situación a las autoridades administrativas, en el marco de la Ley 1098 de 2006, actuación de la cual dejará constancia en el libro de protocolos II. </w:t>
      </w:r>
    </w:p>
    <w:p w:rsidR="00355881" w:rsidRPr="00226429" w:rsidRDefault="00355881" w:rsidP="00324845">
      <w:pPr>
        <w:pStyle w:val="Default"/>
        <w:numPr>
          <w:ilvl w:val="0"/>
          <w:numId w:val="2"/>
        </w:numPr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  <w:sz w:val="22"/>
          <w:szCs w:val="22"/>
        </w:rPr>
      </w:pPr>
      <w:r w:rsidRPr="00226429">
        <w:rPr>
          <w:color w:val="auto"/>
          <w:sz w:val="22"/>
          <w:szCs w:val="22"/>
        </w:rPr>
        <w:t xml:space="preserve">Adoptar las medidas para proteger a los involucrados en la situación de posibles acciones en su contra, actuación de la cual se dejará constancia en el libro de protocolos II. </w:t>
      </w:r>
    </w:p>
    <w:p w:rsidR="00355881" w:rsidRPr="00226429" w:rsidRDefault="00355881" w:rsidP="00324845">
      <w:pPr>
        <w:pStyle w:val="Default"/>
        <w:numPr>
          <w:ilvl w:val="0"/>
          <w:numId w:val="2"/>
        </w:numPr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  <w:sz w:val="22"/>
          <w:szCs w:val="22"/>
        </w:rPr>
      </w:pPr>
      <w:r w:rsidRPr="00226429">
        <w:rPr>
          <w:color w:val="auto"/>
          <w:sz w:val="22"/>
          <w:szCs w:val="22"/>
        </w:rPr>
        <w:t xml:space="preserve">Coordinación Informará de manera inmediata a los padres, madres o acudientes de todos los estudiantes involucrados. Actuación de la cual se dejará constancia en el libro de protocolos II. </w:t>
      </w:r>
    </w:p>
    <w:p w:rsidR="00355881" w:rsidRPr="00226429" w:rsidRDefault="00355881" w:rsidP="00324845">
      <w:pPr>
        <w:pStyle w:val="Default"/>
        <w:numPr>
          <w:ilvl w:val="0"/>
          <w:numId w:val="2"/>
        </w:numPr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  <w:sz w:val="22"/>
          <w:szCs w:val="22"/>
        </w:rPr>
      </w:pPr>
      <w:r w:rsidRPr="00226429">
        <w:rPr>
          <w:color w:val="auto"/>
          <w:sz w:val="22"/>
          <w:szCs w:val="22"/>
        </w:rPr>
        <w:t xml:space="preserve">Coordinación y Orientación generarán espacios en los que las partes involucradas y los padres, madres o acudientes de los estudiantes, puedan exponer y precisar lo acontecido, preservando, en cualquier caso, el derecho a la intimidad, confidencialidad y demás derechos. Promover los mecanismos necesarios para determinar las acciones que busquen la reparación de los daños causados, el· restablecimiento de los derechos y la reconciliación dentro de un clima de relaciones constructivas en la Normal; aplicables a quienes han promovido, contribuido o participado en la situación reportada. </w:t>
      </w:r>
      <w:r w:rsidR="00226429">
        <w:rPr>
          <w:color w:val="auto"/>
          <w:sz w:val="22"/>
          <w:szCs w:val="22"/>
        </w:rPr>
        <w:t xml:space="preserve">Aplicación del principio de </w:t>
      </w:r>
      <w:r w:rsidR="00226429" w:rsidRPr="00226429">
        <w:rPr>
          <w:b/>
          <w:color w:val="FFC000"/>
          <w:sz w:val="22"/>
          <w:szCs w:val="22"/>
        </w:rPr>
        <w:t>NO REPETICIÓN</w:t>
      </w:r>
      <w:r w:rsidR="00226429">
        <w:rPr>
          <w:color w:val="auto"/>
          <w:sz w:val="22"/>
          <w:szCs w:val="22"/>
        </w:rPr>
        <w:t>.</w:t>
      </w:r>
    </w:p>
    <w:p w:rsidR="00355881" w:rsidRPr="00226429" w:rsidRDefault="00324845" w:rsidP="00324845">
      <w:pPr>
        <w:pStyle w:val="Default"/>
        <w:numPr>
          <w:ilvl w:val="0"/>
          <w:numId w:val="2"/>
        </w:numPr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  <w:sz w:val="22"/>
          <w:szCs w:val="22"/>
        </w:rPr>
      </w:pPr>
      <w:r w:rsidRPr="00226429">
        <w:rPr>
          <w:color w:val="auto"/>
          <w:sz w:val="22"/>
          <w:szCs w:val="22"/>
        </w:rPr>
        <w:t>La presidencia</w:t>
      </w:r>
      <w:r w:rsidR="00355881" w:rsidRPr="00226429">
        <w:rPr>
          <w:color w:val="auto"/>
          <w:sz w:val="22"/>
          <w:szCs w:val="22"/>
        </w:rPr>
        <w:t xml:space="preserve"> del Comité Escolar de Convivencia informará a los demás integrantes de este comité, sobre la situación ocurrida y las medidas adoptadas. El comité realizará el análisis y seguimiento, a fin de verificar si la solución fue efectiva o si se requiere acudir al protocolo consagrado en el artículo 44 del Decreto 1965 del 11 de septiembre de 2013, Artículo 43. </w:t>
      </w:r>
    </w:p>
    <w:p w:rsidR="00355881" w:rsidRPr="00226429" w:rsidRDefault="00355881" w:rsidP="00324845">
      <w:pPr>
        <w:pStyle w:val="Default"/>
        <w:numPr>
          <w:ilvl w:val="0"/>
          <w:numId w:val="2"/>
        </w:numPr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  <w:sz w:val="22"/>
          <w:szCs w:val="22"/>
        </w:rPr>
      </w:pPr>
      <w:r w:rsidRPr="00226429">
        <w:rPr>
          <w:color w:val="auto"/>
          <w:sz w:val="22"/>
          <w:szCs w:val="22"/>
        </w:rPr>
        <w:t xml:space="preserve">El comité escolar de convivencia dejará constancia en acta de todo lo ocurrido y de las decisiones adoptadas, la cual será suscrita por todos los integrantes e intervinientes. </w:t>
      </w:r>
    </w:p>
    <w:p w:rsidR="00324845" w:rsidRPr="00226429" w:rsidRDefault="00226429" w:rsidP="00324845">
      <w:pPr>
        <w:pStyle w:val="Default"/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 libro es responsabilidad de Coordinación de Convivencia.</w:t>
      </w:r>
    </w:p>
    <w:p w:rsidR="00324845" w:rsidRPr="00226429" w:rsidRDefault="00324845" w:rsidP="00324845">
      <w:pPr>
        <w:pStyle w:val="Default"/>
        <w:pBdr>
          <w:top w:val="triple" w:sz="4" w:space="1" w:color="FFC000"/>
          <w:left w:val="triple" w:sz="4" w:space="4" w:color="FFC000"/>
          <w:bottom w:val="triple" w:sz="4" w:space="1" w:color="FFC000"/>
          <w:right w:val="triple" w:sz="4" w:space="4" w:color="FFC000"/>
        </w:pBdr>
        <w:jc w:val="both"/>
        <w:rPr>
          <w:color w:val="auto"/>
          <w:sz w:val="22"/>
          <w:szCs w:val="22"/>
        </w:rPr>
      </w:pPr>
    </w:p>
    <w:p w:rsidR="00355881" w:rsidRPr="00226429" w:rsidRDefault="00355881" w:rsidP="00355881">
      <w:pPr>
        <w:pStyle w:val="Default"/>
        <w:rPr>
          <w:rFonts w:cstheme="minorBidi"/>
          <w:color w:val="auto"/>
          <w:sz w:val="22"/>
          <w:szCs w:val="22"/>
        </w:rPr>
      </w:pPr>
    </w:p>
    <w:p w:rsidR="00FB2099" w:rsidRPr="00226429" w:rsidRDefault="00D054E9"/>
    <w:sectPr w:rsidR="00FB2099" w:rsidRPr="00226429" w:rsidSect="001E3058">
      <w:pgSz w:w="11906" w:h="16838"/>
      <w:pgMar w:top="1417" w:right="1701" w:bottom="1417" w:left="1701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uka Gothic Pro B">
    <w:altName w:val="Kozuka Gothic Pro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uka Gothic Pro M">
    <w:altName w:val="Kozuka Gothic Pro 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383"/>
    <w:multiLevelType w:val="hybridMultilevel"/>
    <w:tmpl w:val="7DA6D5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78C5"/>
    <w:multiLevelType w:val="hybridMultilevel"/>
    <w:tmpl w:val="06182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9177"/>
    <w:multiLevelType w:val="hybridMultilevel"/>
    <w:tmpl w:val="4981EC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058"/>
    <w:rsid w:val="000959E3"/>
    <w:rsid w:val="001E3058"/>
    <w:rsid w:val="00226429"/>
    <w:rsid w:val="002F4CB2"/>
    <w:rsid w:val="00324845"/>
    <w:rsid w:val="00355881"/>
    <w:rsid w:val="00367E3B"/>
    <w:rsid w:val="003B337F"/>
    <w:rsid w:val="00586A29"/>
    <w:rsid w:val="007B4758"/>
    <w:rsid w:val="00803E33"/>
    <w:rsid w:val="00844624"/>
    <w:rsid w:val="00BA6C2E"/>
    <w:rsid w:val="00C45404"/>
    <w:rsid w:val="00C77706"/>
    <w:rsid w:val="00CC0413"/>
    <w:rsid w:val="00D054E9"/>
    <w:rsid w:val="00D4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3058"/>
    <w:pPr>
      <w:autoSpaceDE w:val="0"/>
      <w:autoSpaceDN w:val="0"/>
      <w:adjustRightInd w:val="0"/>
      <w:spacing w:after="0" w:line="240" w:lineRule="auto"/>
    </w:pPr>
    <w:rPr>
      <w:rFonts w:ascii="Kozuka Gothic Pro R" w:hAnsi="Kozuka Gothic Pro R" w:cs="Kozuka Gothic Pro 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3058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E3058"/>
    <w:rPr>
      <w:rFonts w:cs="Kozuka Gothic Pro R"/>
      <w:color w:val="000000"/>
      <w:sz w:val="20"/>
      <w:szCs w:val="20"/>
      <w:u w:val="single"/>
    </w:rPr>
  </w:style>
  <w:style w:type="paragraph" w:customStyle="1" w:styleId="Pa11">
    <w:name w:val="Pa11"/>
    <w:basedOn w:val="Default"/>
    <w:next w:val="Default"/>
    <w:uiPriority w:val="99"/>
    <w:rsid w:val="00355881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LONDOÑO-SANCHEZ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cp:lastPrinted>2014-06-05T15:06:00Z</cp:lastPrinted>
  <dcterms:created xsi:type="dcterms:W3CDTF">2014-06-03T22:24:00Z</dcterms:created>
  <dcterms:modified xsi:type="dcterms:W3CDTF">2014-06-05T15:16:00Z</dcterms:modified>
</cp:coreProperties>
</file>